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130" w:rsidRPr="007574DC" w:rsidRDefault="00634130" w:rsidP="007574DC">
      <w:pPr>
        <w:shd w:val="clear" w:color="auto" w:fill="FFFFFF"/>
        <w:spacing w:after="0" w:line="240" w:lineRule="auto"/>
        <w:jc w:val="center"/>
        <w:outlineLvl w:val="3"/>
        <w:rPr>
          <w:rFonts w:ascii="Trade Gothic W01 Bold" w:eastAsia="Times New Roman" w:hAnsi="Trade Gothic W01 Bold" w:cs="Arial"/>
          <w:caps/>
          <w:color w:val="000000"/>
          <w:sz w:val="52"/>
          <w:szCs w:val="52"/>
          <w:lang w:eastAsia="de-DE"/>
        </w:rPr>
      </w:pPr>
      <w:r w:rsidRPr="007574DC">
        <w:rPr>
          <w:rFonts w:ascii="Trade Gothic W01 Bold" w:eastAsia="Times New Roman" w:hAnsi="Trade Gothic W01 Bold" w:cs="Arial"/>
          <w:caps/>
          <w:color w:val="000000"/>
          <w:sz w:val="52"/>
          <w:szCs w:val="52"/>
          <w:lang w:eastAsia="de-DE"/>
        </w:rPr>
        <w:t>Briefe gegen das Vergessen</w:t>
      </w:r>
    </w:p>
    <w:p w:rsidR="007574DC" w:rsidRDefault="007574DC" w:rsidP="007574DC">
      <w:pPr>
        <w:shd w:val="clear" w:color="auto" w:fill="FFFFFF"/>
        <w:spacing w:after="0" w:line="450" w:lineRule="atLeast"/>
        <w:jc w:val="center"/>
        <w:outlineLvl w:val="2"/>
        <w:rPr>
          <w:rFonts w:ascii="Trade Gothic Bold Condensed 20" w:eastAsia="Times New Roman" w:hAnsi="Trade Gothic Bold Condensed 20" w:cs="Arial"/>
          <w:b/>
          <w:caps/>
          <w:color w:val="000000"/>
          <w:sz w:val="28"/>
          <w:szCs w:val="28"/>
          <w:lang w:eastAsia="de-DE"/>
        </w:rPr>
      </w:pPr>
      <w:r w:rsidRPr="007574DC">
        <w:rPr>
          <w:rFonts w:ascii="Trade Gothic Bold Condensed 20" w:eastAsia="Times New Roman" w:hAnsi="Trade Gothic Bold Condensed 20" w:cs="Arial"/>
          <w:b/>
          <w:caps/>
          <w:color w:val="000000"/>
          <w:sz w:val="28"/>
          <w:szCs w:val="28"/>
          <w:lang w:eastAsia="de-DE"/>
        </w:rPr>
        <w:t xml:space="preserve">Ägypten </w:t>
      </w:r>
    </w:p>
    <w:p w:rsidR="007574DC" w:rsidRPr="007574DC" w:rsidRDefault="007574DC" w:rsidP="007574DC">
      <w:pPr>
        <w:shd w:val="clear" w:color="auto" w:fill="FFFFFF"/>
        <w:spacing w:after="0" w:line="450" w:lineRule="atLeast"/>
        <w:jc w:val="center"/>
        <w:outlineLvl w:val="2"/>
        <w:rPr>
          <w:rFonts w:ascii="Trade Gothic Bold Condensed 20" w:eastAsia="Times New Roman" w:hAnsi="Trade Gothic Bold Condensed 20" w:cs="Arial"/>
          <w:b/>
          <w:caps/>
          <w:color w:val="000000"/>
          <w:sz w:val="28"/>
          <w:szCs w:val="28"/>
          <w:lang w:eastAsia="de-DE"/>
        </w:rPr>
      </w:pPr>
    </w:p>
    <w:p w:rsidR="00634130" w:rsidRPr="00634130" w:rsidRDefault="007574DC" w:rsidP="007574DC">
      <w:pPr>
        <w:shd w:val="clear" w:color="auto" w:fill="FFFFFF"/>
        <w:spacing w:after="0" w:line="450" w:lineRule="atLeast"/>
        <w:jc w:val="center"/>
        <w:outlineLvl w:val="2"/>
        <w:rPr>
          <w:rFonts w:ascii="Trade Gothic Bold Condensed 20" w:eastAsia="Times New Roman" w:hAnsi="Trade Gothic Bold Condensed 20" w:cs="Arial"/>
          <w:caps/>
          <w:color w:val="000000"/>
          <w:sz w:val="36"/>
          <w:szCs w:val="36"/>
          <w:lang w:eastAsia="de-DE"/>
        </w:rPr>
      </w:pPr>
      <w:r>
        <w:rPr>
          <w:rFonts w:ascii="Trade Gothic Bold Condensed 20" w:eastAsia="Times New Roman" w:hAnsi="Trade Gothic Bold Condensed 20" w:cs="Arial"/>
          <w:caps/>
          <w:color w:val="000000"/>
          <w:sz w:val="36"/>
          <w:szCs w:val="36"/>
          <w:lang w:eastAsia="de-DE"/>
        </w:rPr>
        <w:t>Mitarbeiter</w:t>
      </w:r>
      <w:r w:rsidR="00634130" w:rsidRPr="00634130">
        <w:rPr>
          <w:rFonts w:ascii="Trade Gothic Bold Condensed 20" w:eastAsia="Times New Roman" w:hAnsi="Trade Gothic Bold Condensed 20" w:cs="Arial"/>
          <w:caps/>
          <w:color w:val="000000"/>
          <w:sz w:val="36"/>
          <w:szCs w:val="36"/>
          <w:lang w:eastAsia="de-DE"/>
        </w:rPr>
        <w:t xml:space="preserve"> von Menschenrechtsorganisationen</w:t>
      </w:r>
    </w:p>
    <w:p w:rsidR="007574DC" w:rsidRDefault="007574DC" w:rsidP="00634130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19"/>
          <w:szCs w:val="19"/>
          <w:lang w:eastAsia="de-DE"/>
        </w:rPr>
      </w:pPr>
    </w:p>
    <w:p w:rsidR="00634130" w:rsidRPr="007574DC" w:rsidRDefault="00634130" w:rsidP="006341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7574DC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Februar 2017</w:t>
      </w:r>
    </w:p>
    <w:p w:rsidR="00634130" w:rsidRDefault="00634130" w:rsidP="006341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Im Juni 2013 wurden 43 ägyptische un</w:t>
      </w:r>
      <w:r w:rsidR="007574DC"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 ausländische Mitarbeiter</w:t>
      </w:r>
      <w:r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von NGOs im Rahmen eines Prozes</w:t>
      </w:r>
      <w:r w:rsid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ses, der unter der Bezeichnung „</w:t>
      </w:r>
      <w:r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Verfahren 173" bekannt ist, zu Haftstrafen zwischen einem und fünf Jahren verurteilt. Zudem wurden mehrere ausländische Nichtregierungsorganisationen geschlossen.</w:t>
      </w:r>
    </w:p>
    <w:p w:rsidR="007574DC" w:rsidRPr="007574DC" w:rsidRDefault="007574DC" w:rsidP="006341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7574DC" w:rsidRDefault="00634130" w:rsidP="006341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Im vergangenen Jahr haben </w:t>
      </w:r>
      <w:r w:rsidR="007574DC"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Untersuchungsrichter</w:t>
      </w:r>
      <w:r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den Druck auf ägyptische Menschenrechtsorganisationen noch weiter verstärkt: Sie verhängten willkürliche Reiseverbote, ordneten Festnahmen von Mitarbeitern an und ließen Finanzmittel von Organisationen einfrieren. </w:t>
      </w:r>
    </w:p>
    <w:p w:rsidR="007574DC" w:rsidRDefault="007574DC" w:rsidP="006341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7574DC" w:rsidRDefault="00634130" w:rsidP="006341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Durch massive Einschränkungen der Meinungs-, Vereinigungs- und Versammlungsfreiheit soll die Menschenrechtsbewegung des Landes zerschlagen und jegliche abweichende Meinungsäußerung im Keim erstickt werden.</w:t>
      </w:r>
      <w:r w:rsidR="007574DC"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</w:t>
      </w:r>
    </w:p>
    <w:p w:rsidR="007574DC" w:rsidRDefault="007574DC" w:rsidP="006341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634130" w:rsidRPr="007574DC" w:rsidRDefault="007574DC" w:rsidP="006341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Führende Menschenrechtler</w:t>
      </w:r>
      <w:r w:rsidR="00634130"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sind in Gefahr, wegen politisch motivierter Anklagen zu lebenslanger Haft verurteilt zu werden.</w:t>
      </w:r>
    </w:p>
    <w:p w:rsidR="007574DC" w:rsidRDefault="007574DC" w:rsidP="006341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</w:p>
    <w:p w:rsidR="00634130" w:rsidRPr="007574DC" w:rsidRDefault="00634130" w:rsidP="00634130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8"/>
          <w:szCs w:val="28"/>
          <w:lang w:eastAsia="de-DE"/>
        </w:rPr>
      </w:pPr>
      <w:r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Zudem liegt Präsident Abdel Fattah al-</w:t>
      </w:r>
      <w:proofErr w:type="spellStart"/>
      <w:r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>Sisi</w:t>
      </w:r>
      <w:proofErr w:type="spellEnd"/>
      <w:r w:rsidRPr="007574DC">
        <w:rPr>
          <w:rFonts w:ascii="Arial" w:eastAsia="Times New Roman" w:hAnsi="Arial" w:cs="Arial"/>
          <w:color w:val="000000"/>
          <w:sz w:val="28"/>
          <w:szCs w:val="28"/>
          <w:lang w:eastAsia="de-DE"/>
        </w:rPr>
        <w:t xml:space="preserve"> ein Entwurf für ein restriktives Gesetz über Vereinigungen zur Unterschrift vor. Durch das neue Gesetz würden sich die staatlichen Eingriffe in die Arbeit von Nichtregierungsorganisationen noch weiter verstärken.</w:t>
      </w:r>
    </w:p>
    <w:p w:rsidR="007574DC" w:rsidRDefault="007574DC" w:rsidP="00634130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19"/>
          <w:szCs w:val="19"/>
          <w:lang w:eastAsia="de-DE"/>
        </w:rPr>
      </w:pPr>
    </w:p>
    <w:p w:rsidR="007574DC" w:rsidRDefault="007574DC" w:rsidP="007574DC">
      <w:pPr>
        <w:shd w:val="clear" w:color="auto" w:fill="FFFFFF"/>
        <w:spacing w:after="0" w:line="312" w:lineRule="atLeast"/>
        <w:rPr>
          <w:rFonts w:ascii="Arial" w:eastAsia="Times New Roman" w:hAnsi="Arial" w:cs="Arial"/>
          <w:b/>
          <w:bCs/>
          <w:color w:val="000000"/>
          <w:sz w:val="19"/>
          <w:szCs w:val="19"/>
          <w:lang w:eastAsia="de-DE"/>
        </w:rPr>
      </w:pPr>
    </w:p>
    <w:p w:rsidR="00634130" w:rsidRPr="00CA4466" w:rsidRDefault="00634130" w:rsidP="00CA4466">
      <w:pPr>
        <w:pStyle w:val="Listenabsatz"/>
        <w:numPr>
          <w:ilvl w:val="0"/>
          <w:numId w:val="1"/>
        </w:num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19"/>
          <w:szCs w:val="19"/>
          <w:lang w:eastAsia="de-DE"/>
        </w:rPr>
      </w:pPr>
      <w:r w:rsidRPr="00CA4466">
        <w:rPr>
          <w:rFonts w:ascii="Arial" w:eastAsia="Times New Roman" w:hAnsi="Arial" w:cs="Arial"/>
          <w:b/>
          <w:bCs/>
          <w:color w:val="000000"/>
          <w:sz w:val="19"/>
          <w:szCs w:val="19"/>
          <w:lang w:eastAsia="de-DE"/>
        </w:rPr>
        <w:t>Bitte schreiben Sie höflich formulierte Briefe</w:t>
      </w:r>
      <w:r w:rsidRPr="00CA4466">
        <w:rPr>
          <w:rFonts w:ascii="Arial" w:eastAsia="Times New Roman" w:hAnsi="Arial" w:cs="Arial"/>
          <w:color w:val="000000"/>
          <w:sz w:val="19"/>
          <w:szCs w:val="19"/>
          <w:lang w:eastAsia="de-DE"/>
        </w:rPr>
        <w:t xml:space="preserve"> </w:t>
      </w:r>
      <w:r w:rsidRPr="00CA4466">
        <w:rPr>
          <w:rFonts w:ascii="Arial" w:eastAsia="Times New Roman" w:hAnsi="Arial" w:cs="Arial"/>
          <w:b/>
          <w:color w:val="000000"/>
          <w:sz w:val="19"/>
          <w:szCs w:val="19"/>
          <w:lang w:eastAsia="de-DE"/>
        </w:rPr>
        <w:t>an den Staatspräsidenten Ägyptens</w:t>
      </w:r>
      <w:r w:rsidR="0032343F" w:rsidRPr="00CA4466">
        <w:rPr>
          <w:rFonts w:ascii="Arial" w:eastAsia="Times New Roman" w:hAnsi="Arial" w:cs="Arial"/>
          <w:color w:val="000000"/>
          <w:sz w:val="19"/>
          <w:szCs w:val="19"/>
          <w:lang w:eastAsia="de-DE"/>
        </w:rPr>
        <w:t>.</w:t>
      </w:r>
    </w:p>
    <w:p w:rsidR="00634130" w:rsidRPr="00CA4466" w:rsidRDefault="00634130" w:rsidP="00CA4466">
      <w:pPr>
        <w:pStyle w:val="Listenabsatz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de-DE"/>
        </w:rPr>
      </w:pPr>
      <w:r w:rsidRPr="00CA4466">
        <w:rPr>
          <w:rFonts w:ascii="Arial" w:eastAsia="Times New Roman" w:hAnsi="Arial" w:cs="Arial"/>
          <w:b/>
          <w:bCs/>
          <w:color w:val="000000"/>
          <w:sz w:val="19"/>
          <w:szCs w:val="19"/>
          <w:lang w:eastAsia="de-DE"/>
        </w:rPr>
        <w:t>Senden Sie bitte</w:t>
      </w:r>
      <w:r w:rsidR="007574DC" w:rsidRPr="00CA4466">
        <w:rPr>
          <w:rFonts w:ascii="Arial" w:eastAsia="Times New Roman" w:hAnsi="Arial" w:cs="Arial"/>
          <w:b/>
          <w:bCs/>
          <w:color w:val="000000"/>
          <w:sz w:val="19"/>
          <w:szCs w:val="19"/>
          <w:lang w:eastAsia="de-DE"/>
        </w:rPr>
        <w:t xml:space="preserve"> eine Kopie Ihres Schreibens </w:t>
      </w:r>
      <w:r w:rsidR="007574DC" w:rsidRPr="00CA4466">
        <w:rPr>
          <w:rFonts w:ascii="Arial" w:eastAsia="Times New Roman" w:hAnsi="Arial" w:cs="Arial"/>
          <w:bCs/>
          <w:color w:val="000000"/>
          <w:sz w:val="19"/>
          <w:szCs w:val="19"/>
          <w:lang w:eastAsia="de-DE"/>
        </w:rPr>
        <w:t>an die</w:t>
      </w:r>
      <w:r w:rsidR="007574DC" w:rsidRPr="00CA4466">
        <w:rPr>
          <w:rFonts w:ascii="Arial" w:eastAsia="Times New Roman" w:hAnsi="Arial" w:cs="Arial"/>
          <w:b/>
          <w:bCs/>
          <w:color w:val="000000"/>
          <w:sz w:val="19"/>
          <w:szCs w:val="19"/>
          <w:lang w:eastAsia="de-DE"/>
        </w:rPr>
        <w:t xml:space="preserve"> </w:t>
      </w:r>
      <w:r w:rsidRPr="00CA4466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t>Botschaft der Arabischen Republik Ägypten</w:t>
      </w:r>
      <w:r w:rsidRPr="00CA4466">
        <w:rPr>
          <w:rFonts w:ascii="Arial" w:eastAsia="Times New Roman" w:hAnsi="Arial" w:cs="Arial"/>
          <w:color w:val="000000" w:themeColor="text1"/>
          <w:sz w:val="20"/>
          <w:szCs w:val="20"/>
          <w:lang w:eastAsia="de-DE"/>
        </w:rPr>
        <w:br/>
      </w:r>
    </w:p>
    <w:p w:rsidR="00CD2D73" w:rsidRDefault="00CD2D73">
      <w:bookmarkStart w:id="0" w:name="_GoBack"/>
      <w:bookmarkEnd w:id="0"/>
    </w:p>
    <w:sectPr w:rsidR="00CD2D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W01 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 Gothic Bold Condensed 20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F23D9"/>
    <w:multiLevelType w:val="hybridMultilevel"/>
    <w:tmpl w:val="F8EAC6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C0"/>
    <w:rsid w:val="00271DC0"/>
    <w:rsid w:val="0032343F"/>
    <w:rsid w:val="003A3509"/>
    <w:rsid w:val="00634130"/>
    <w:rsid w:val="007574DC"/>
    <w:rsid w:val="00CA4466"/>
    <w:rsid w:val="00CD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24514-420D-4E4F-B4B5-9DEBDB31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634130"/>
    <w:rPr>
      <w:i/>
      <w:iCs/>
    </w:rPr>
  </w:style>
  <w:style w:type="character" w:styleId="Fett">
    <w:name w:val="Strong"/>
    <w:basedOn w:val="Absatz-Standardschriftart"/>
    <w:uiPriority w:val="22"/>
    <w:qFormat/>
    <w:rsid w:val="00634130"/>
    <w:rPr>
      <w:b/>
      <w:bCs/>
    </w:rPr>
  </w:style>
  <w:style w:type="character" w:customStyle="1" w:styleId="caption1">
    <w:name w:val="caption1"/>
    <w:basedOn w:val="Absatz-Standardschriftart"/>
    <w:rsid w:val="00634130"/>
    <w:rPr>
      <w:color w:val="999999"/>
      <w:sz w:val="22"/>
      <w:szCs w:val="22"/>
    </w:rPr>
  </w:style>
  <w:style w:type="paragraph" w:styleId="Listenabsatz">
    <w:name w:val="List Paragraph"/>
    <w:basedOn w:val="Standard"/>
    <w:uiPriority w:val="34"/>
    <w:qFormat/>
    <w:rsid w:val="00CA4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3543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  <w:divsChild>
                    <w:div w:id="1974171750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04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50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9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24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3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475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503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9525">
                                                      <w:marLeft w:val="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Gudrun1</dc:creator>
  <cp:keywords/>
  <dc:description/>
  <cp:lastModifiedBy>Gudrun1</cp:lastModifiedBy>
  <cp:revision>5</cp:revision>
  <dcterms:created xsi:type="dcterms:W3CDTF">2017-02-05T20:00:00Z</dcterms:created>
  <dcterms:modified xsi:type="dcterms:W3CDTF">2017-02-05T20:55:00Z</dcterms:modified>
</cp:coreProperties>
</file>